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D43" w:rsidRPr="00D32D43" w:rsidRDefault="00D32D43" w:rsidP="00C56C1F">
      <w:pPr>
        <w:spacing w:after="0" w:line="240" w:lineRule="auto"/>
        <w:jc w:val="both"/>
        <w:rPr>
          <w:rFonts w:ascii="Times New Roman" w:hAnsi="Times New Roman" w:cs="Times New Roman"/>
          <w:b/>
          <w:sz w:val="20"/>
          <w:szCs w:val="20"/>
          <w:lang w:val="hy-AM"/>
        </w:rPr>
      </w:pPr>
      <w:r w:rsidRPr="00D32D43">
        <w:rPr>
          <w:rFonts w:ascii="Sylfaen" w:hAnsi="Sylfaen" w:cs="Calibri"/>
          <w:b/>
          <w:sz w:val="20"/>
          <w:szCs w:val="20"/>
          <w:lang w:val="hy-AM"/>
        </w:rPr>
        <w:t>Վաճառքի ներկայացված լոտի նկարագիր</w:t>
      </w:r>
      <w:r>
        <w:rPr>
          <w:rFonts w:ascii="Sylfaen" w:hAnsi="Sylfaen" w:cs="Calibri"/>
          <w:b/>
          <w:sz w:val="20"/>
          <w:szCs w:val="20"/>
          <w:lang w:val="hy-AM"/>
        </w:rPr>
        <w:t>ը</w:t>
      </w:r>
      <w:bookmarkStart w:id="0" w:name="_GoBack"/>
      <w:bookmarkEnd w:id="0"/>
      <w:r w:rsidRPr="00D32D43">
        <w:rPr>
          <w:rFonts w:ascii="Sylfaen" w:hAnsi="Sylfaen" w:cs="Calibri"/>
          <w:b/>
          <w:sz w:val="20"/>
          <w:szCs w:val="20"/>
          <w:lang w:val="hy-AM"/>
        </w:rPr>
        <w:t xml:space="preserve"> հետևյալն է.</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Լոտ 9 – իր մեջ ներառում է «Քեթրին գրուպ» ՍՊԸ-ին սեփականության իրավունքով պատկանող՝ ք</w:t>
      </w:r>
      <w:r w:rsidRPr="00C56C1F">
        <w:rPr>
          <w:rFonts w:ascii="Times New Roman" w:hAnsi="Times New Roman" w:cs="Times New Roman"/>
          <w:sz w:val="20"/>
          <w:szCs w:val="20"/>
          <w:lang w:val="hy-AM"/>
        </w:rPr>
        <w:t>․</w:t>
      </w:r>
      <w:r w:rsidRPr="00C56C1F">
        <w:rPr>
          <w:rFonts w:ascii="Sylfaen" w:hAnsi="Sylfaen" w:cs="Calibri"/>
          <w:sz w:val="20"/>
          <w:szCs w:val="20"/>
          <w:lang w:val="hy-AM"/>
        </w:rPr>
        <w:t>Երևան, Շենգավիթ, Արշակունյաց փողոց 254 և ք</w:t>
      </w:r>
      <w:r w:rsidRPr="00C56C1F">
        <w:rPr>
          <w:rFonts w:ascii="Times New Roman" w:hAnsi="Times New Roman" w:cs="Times New Roman"/>
          <w:sz w:val="20"/>
          <w:szCs w:val="20"/>
          <w:lang w:val="hy-AM"/>
        </w:rPr>
        <w:t>․</w:t>
      </w:r>
      <w:r w:rsidRPr="00C56C1F">
        <w:rPr>
          <w:rFonts w:ascii="Sylfaen" w:hAnsi="Sylfaen" w:cs="Calibri"/>
          <w:sz w:val="20"/>
          <w:szCs w:val="20"/>
          <w:lang w:val="hy-AM"/>
        </w:rPr>
        <w:t>Երևան, Շենգավիթ, Արշակունյաց փողոց 254/1 հասցեներում գտնվող գույքերը, որոնք հանդիսանում են գրավի առարկա, որոնց նկարագիրը հետևյալն է.</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Երևան, Շենգավիթ Արշակունյաց փողոց 254 հասցեում գտնվող գույք /վկայականի թիվը՝ 03102017-01-0198, տրված՝ 03.10.2017թ./։ Գույքը «Քեթրին գրուպ» ՍՊԸ-ի սեփականությունն է։ Հողամասի նպատակային նշանակությունը՝ արդյունաբերության ընդերքօգտագործման և այլ արտադրական նշանակության, գործառնական նշանակությունը՝ արդյունաբերական օբյեկտների, մակերեսը՝  14020,8 քմ: Հողամասի վրա առկա են 13533,3 քմ մակերեսով շինություններ և 5692,8 քմ մակերեսով ինքնակամ շինություն: Շինությունների որոշ մասը գտնվում է Արշակունյաց փողոցի անմիջական հարևանությամբ, իսկ որոշ մասը՝ այդ շինությունների հետնամասում։ Արշակունյաց փողոցի կողմից շինությունը եռահարկ է, կառուցված երկաթբետոնյա կոնստրուկցիաներով, ճակատային մասը սրբատաշ քարով, տեղադրված են մետաղապլաստե և մետաղական պատուհաններ։ Շենքի աջակողմյան մասում շենքը հինգ հարկանի է։ Շենքի ձախակողմյան կես մասը առանց ներքին հարդարման է, իսկ աջակողմյան հատվածը նաև հինգ հարկանի մասը միջինից բարձր ներքին հարդարմամբ։ Արշակունյաց պողոտային ուղղահայաց շենքը երկհարկանի է, միջնամասում հինգ հարկանի, վերջնամասում եռահարկ, կառուցված է երկաթբետոնյա կոնստրուկցիաներով և տուֆ քարով։ Առաջին հարկը միջինից ցածր ներքին հարդարման վիճակում է, իսկ երկրորդ հարկում խոհանոցային հատվածն է, որը գտնվում է միջինից բարձր վիճակում՝ սալիկապատ հատակով, ներկած պատերով, կախովի առաստաղով, մետաղապլաստե պատուհաններով։ Մյուս հատվածը միջին վիճակում է։ Վերոնշյալ շինության երկու մասերի միջև գտնվում է բարձր առաստաղով երեք մասերի բաժանված արտադրատարածքներ /անգարներ/, որոնց ետնամասով ձգվում է ևս մեկ առանձնացված հատված /անգար/, կառուցված են երկաթբետոնյա կոնստրուկցիաներով, հավաքովի երկաթբետոնյա առաստաղով, պատերը քարերով և երկաթբետոնյա սալերով են, որոշ հատվածներում սվաղած, հատակը բետոնեսվաղ, առանց այլ ներքին հարդարման են։ Երեք հարակից անգարների տարածքով առկա է նկուղային հարկ՝ կառուցված բետոնյա կոնստրուկցիաներով։ Շենքերի տանիքները՝ մասամբ թիթեղյա, շիֆեր, հարթ, իսկ առաստաղի բարձրությունը՝ տարբեր հատվածներում 2.8-ից մինչև 13.8մ, իսկ վերանորոգման աստիճանը տարբեր մասերում տարբեր է՝ միջինից ցածր, միջին, միջինից բարձր։  Կից կառուցված է քարե կառույց, որը ավելի ուշ է կառուցված և առանց ներքին և արտաքին հարդարման է։ Անշարժ գույքը բազմաֆունկցիոնալ է, դրա տարբեր մասերը կարող են օգտագործվել տարբեր նպատակներով, այդ թվում՝ որպես վաճառասրահներ, արտադրամասեր, գրասենյակային տարածքներ, պահեստներ և այլն։ Անշարժ գույքի տարածքը ունի ավտոմեքենաների մուտք Արշակունյաց պողոտայի կողմից և վարչական մուտք՝ շենքի վարչական մասի կողմից։</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Երևան, Շենգավիթ Արշակունյաց փողոց 254/1 հասցեում գտնվող գույք /վկայականի թիվը՝ 03102017-01-0182 տրված 03.10.2017թ./։ Գույքը «Քեթրին գրուպ» ՍՊԸ-ի սեփականությունն է։ Հողամասի նպատակային նշանակությունը՝ արդյունաբերության ընդերքօգտագործման և այլ արտադրական նշանակության, գործառնական նշանակությունը՝ արդյունաբերական օբյեկտների, մակերեսը՝ 6658.5 քմ: Հողամասի վրա առկա են հետևյալ շենք-շինությունները՝  վարչաարտադրական շենք  2260.6 քմ /մասամբ արտադրական՝ եռահարկ, մասամբ՝ վարչական/, պահակատներ՝ 18քմ և 12.6քմ, կաթսայատուն՝ 288քմ,, արտադրամաս՝ 256քմ, օժանդակ շինություններ՝ 11.8քմ և 194.1քմ: Շինություններն օգտագործվում են /կամ կարող են օգտագործվել/ արտադրական, պահեստային, առևտրային և այլ նպատակներով։ Շենք-շինությունների տանիքները՝ մասամբ թիթեղյա, շիֆեր, հարթ, իսկ առաստաղի բարձրությունը՝ տարբեր հատվածներում 2.2-ից մինչև 7մ, իսկ վերանորոգման աստիճանը տարբեր մասերում տարբեր է՝ միջինից ցածր, միջին, միջինից բարձր։ Տարածքը պարսպապատ է, ունի բարեկարգ բակ` կանաչապատ, պտղատու այգով: Անշարժ գույքի տարածքը ունի ավտոմեքենաների մուտք Արշակունյաց պողոտայի երկայնքով տեղակայված շենքի աջակողմյան հատվածով դեպի ներս գնացող ճանապարհի վերջնամասի ձախակողմյան հատվածից (Արշակունյաց պողոտայից մոտ 150-200մ)։</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Վերը նշված երկու գույքերը սահմանակից են, միմյանցից սահմանազատված չեն, վաճառքի են ներկայացվում որպես մեկ լոտ։ Աճուրդի մեկնարկային գինը՝ 2</w:t>
      </w:r>
      <w:r w:rsidRPr="00C56C1F">
        <w:rPr>
          <w:rFonts w:ascii="Times New Roman" w:hAnsi="Times New Roman" w:cs="Times New Roman"/>
          <w:sz w:val="20"/>
          <w:szCs w:val="20"/>
          <w:lang w:val="hy-AM"/>
        </w:rPr>
        <w:t>․</w:t>
      </w:r>
      <w:r w:rsidRPr="00C56C1F">
        <w:rPr>
          <w:rFonts w:ascii="Sylfaen" w:hAnsi="Sylfaen" w:cs="Calibri"/>
          <w:sz w:val="20"/>
          <w:szCs w:val="20"/>
          <w:lang w:val="hy-AM"/>
        </w:rPr>
        <w:t>581</w:t>
      </w:r>
      <w:r w:rsidRPr="00C56C1F">
        <w:rPr>
          <w:rFonts w:ascii="Times New Roman" w:hAnsi="Times New Roman" w:cs="Times New Roman"/>
          <w:sz w:val="20"/>
          <w:szCs w:val="20"/>
          <w:lang w:val="hy-AM"/>
        </w:rPr>
        <w:t>․</w:t>
      </w:r>
      <w:r w:rsidRPr="00C56C1F">
        <w:rPr>
          <w:rFonts w:ascii="Sylfaen" w:hAnsi="Sylfaen" w:cs="Calibri"/>
          <w:sz w:val="20"/>
          <w:szCs w:val="20"/>
          <w:lang w:val="hy-AM"/>
        </w:rPr>
        <w:t>182</w:t>
      </w:r>
      <w:r w:rsidRPr="00C56C1F">
        <w:rPr>
          <w:rFonts w:ascii="Times New Roman" w:hAnsi="Times New Roman" w:cs="Times New Roman"/>
          <w:sz w:val="20"/>
          <w:szCs w:val="20"/>
          <w:lang w:val="hy-AM"/>
        </w:rPr>
        <w:t>․</w:t>
      </w:r>
      <w:r w:rsidRPr="00C56C1F">
        <w:rPr>
          <w:rFonts w:ascii="Sylfaen" w:hAnsi="Sylfaen" w:cs="Calibri"/>
          <w:sz w:val="20"/>
          <w:szCs w:val="20"/>
          <w:lang w:val="hy-AM"/>
        </w:rPr>
        <w:t>000 ՀՀ դրամ։</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 xml:space="preserve">Աճուրդին մասնակցել ցանկացողները սույն հայտարարության հրապարակման օրվանից մինչև հայտի ներկայացման վերջնաժամկետը՝ 28.08.2026թ.՝ ժամը 18:00, կարող են աճուրդի կանոնակարգով սահմանված կարգով հայտ ներկայացնել սնանկության դատարան՝ ք.Երևան, Օտյան 53/2 հասցեով: Հայտում այլ դրույթներից բացի պարտադիր նշվում է հայտատուի էլեկտրոնային փոստի հասցեն, և հայտատուին ուղղված՝ աճուրդի վերաբերյալ ծանուցումներն իրականացվում են հայտում ներկայացված էլեկտրոնային փոստի հասցեի միջոցով։ Հայտին կից ներկայացվում է աճուրդի մասնակցության վճարի և նախավճարի վճարումը հաստատող </w:t>
      </w:r>
      <w:r w:rsidRPr="00C56C1F">
        <w:rPr>
          <w:rFonts w:ascii="Sylfaen" w:hAnsi="Sylfaen" w:cs="Calibri"/>
          <w:sz w:val="20"/>
          <w:szCs w:val="20"/>
          <w:lang w:val="hy-AM"/>
        </w:rPr>
        <w:lastRenderedPageBreak/>
        <w:t xml:space="preserve">փաստաթղթերը, ֆիզիկական անձինք՝ նաև իրենց անձնագրի պատճենը, իրավաբանական անձինք և անհատ ձեռնարկատերը՝ նաև իրենց պետական գրանցումը հաստատող փաստաթղթերի պատճենները: </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Աճուրդի մասնակցության վճարը լոտի մեկնարկային գնի 1 /մեկ/ տոկոսի չափով (բայց ոչ ավել, քան 300</w:t>
      </w:r>
      <w:r w:rsidRPr="00C56C1F">
        <w:rPr>
          <w:rFonts w:ascii="Times New Roman" w:hAnsi="Times New Roman" w:cs="Times New Roman"/>
          <w:sz w:val="20"/>
          <w:szCs w:val="20"/>
          <w:lang w:val="hy-AM"/>
        </w:rPr>
        <w:t>․</w:t>
      </w:r>
      <w:r w:rsidRPr="00C56C1F">
        <w:rPr>
          <w:rFonts w:ascii="Sylfaen" w:hAnsi="Sylfaen" w:cs="Calibri"/>
          <w:sz w:val="20"/>
          <w:szCs w:val="20"/>
          <w:lang w:val="hy-AM"/>
        </w:rPr>
        <w:t>000,0 դրամ), իսկ նախավճարը՝ 5 /հինգ/ տոկոսի չափով, մինչև հայտի ներկայացման պահը պետք է վճարվեն պարտապանի սնանկության հատուկ դրամային հաշվին («Արմսվիսբանկ» ՓԲԸ, 2500011601351800)՝ որպես ստացող նշելով «Քեթրին Գրուպ» ՍՊԸ-ի սնանկության գործով կառավարիչ Տիգրան Սահակյան:</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Հայտի ներկայացմանն առնչվող հարցերը, աճուրդի անցկացման և աճուրդի արդյունքներով պայմանա¬վոր-ված հարաբերություն¬ները կանոնակարգվում են աճուրդի կանոնակարգով (տես կանոնակարգի 6-9 կետերը):</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Հայտը համարվում է աճուրդի կանոնակարգի խախտմամբ ներկայացված, և այն ներկայացնող հայտատուն աճուրդին մասնակցելու իրավունք չի ստանում և որպես աճուրդի մասնակից չի գրանցվում կանոնակարգի 18-րդ կետով նախատեսված դեպքում։</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Հայտատուների գրանցումը սկսվում է աճուրդից 15 րոպե առաջ։ Հայտատուն (նրա ներկայացուցիչը) պարտավոր է գրանցվելու համար կառավարչին ներկայացնել իր լիազորությունները հաստատող փաստաթուղթը (եթե հայտատուի անունից հանդես է գալիս լիազորություն ունեցող անձը) և իր անձնագիրը։</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 xml:space="preserve">Հայտի ձևը, աճուրդի կանոնակարգը, հաղթողի կողմից ստորագրման ենթակա՝ աճուրդի արդյունքների մասին արձանագրության օրինակը կարող եք ստանալ հետևյալ հղումով. https://cloud.mail.ru/public/MBc8/pXxYV2UeQ, կամ աճուրդի օրը՝ աճուրդի կազմակերպչից (սնանկության գործով կառավարչից)՝ աճուրդն սկսվելուց առաջ՝ աճուրդի անցկացման վայրում: </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 xml:space="preserve">Լոտի աճուրդում հաղթող է համարվում առավել բարձր գին առաջարկած մասնակիցը։ Աճուրդի հաղթողը (այդ թվում՝ հարկային գործակալը) լոտի վաճառքի գինը պարտավոր է ամբողջությամբ վճարել աճուրդի օրվանից հետո՝ 10 օրվա ընթացքում: </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 xml:space="preserve">Եթե լոտը իրավաբանական անձի սեփականություն է, ապա լոտի վաճառքի գինը ներառում են նաև հարկերը, իսկ եթե ֆիզիկական անձի սեփականություն է, ապա լոտի վաճառքի գնի մեջ չեն ներառվում հարկային գործակալների կողմից վճարման ենթակա հարկերը (եթե այդպիսիք առաջանում են)։ </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Աճուրդին մասնակցելու, առուվաճառքի պայմանագրի կնքման, անհրաժեշտության դեպքում՝ դրանից ծագող իրավունքների պետական գրանցման և/կամ գնված գույքն ուրիշի տիրապետումից հետ պահանջելու և/կամ գույքը գնորդի փաստացի տիրապետմանն անցնելու հետ կապված գործողություններն ու դրանց առնչվող բոլոր ծախսերը, առուվաճառքի պայմանագրի կնքման համար անհրաժեշտ և առուվաճառքի պայմանագրից բխող բոլոր այլ (ցանկացած տեսակի) ծախսերը կատարվում են աճուրդի հաղթողի կողմից:</w:t>
      </w:r>
    </w:p>
    <w:p w:rsidR="00C56C1F" w:rsidRPr="00C56C1F" w:rsidRDefault="00C56C1F" w:rsidP="00C56C1F">
      <w:pPr>
        <w:spacing w:after="0" w:line="240" w:lineRule="auto"/>
        <w:jc w:val="both"/>
        <w:rPr>
          <w:rFonts w:ascii="Sylfaen" w:hAnsi="Sylfaen" w:cs="Calibri"/>
          <w:sz w:val="20"/>
          <w:szCs w:val="20"/>
          <w:lang w:val="hy-AM"/>
        </w:rPr>
      </w:pPr>
      <w:r w:rsidRPr="00C56C1F">
        <w:rPr>
          <w:rFonts w:ascii="Sylfaen" w:hAnsi="Sylfaen" w:cs="Calibri"/>
          <w:sz w:val="20"/>
          <w:szCs w:val="20"/>
          <w:lang w:val="hy-AM"/>
        </w:rPr>
        <w:t>Լոտը կարելի է ուսումնասիրել սույն հայտարարության հրապարակման օրվանից 10 օրվա ընթացքում, աշխատանքային օրերին և ժամերին՝ դրա գտնվելու վայրում՝ նախապես պայմանավորվելով կառավարչի հետ:</w:t>
      </w:r>
    </w:p>
    <w:p w:rsidR="00165C71" w:rsidRPr="00C56C1F" w:rsidRDefault="00C56C1F" w:rsidP="00C56C1F">
      <w:pPr>
        <w:spacing w:after="0" w:line="240" w:lineRule="auto"/>
        <w:jc w:val="both"/>
        <w:rPr>
          <w:lang w:val="hy-AM"/>
        </w:rPr>
      </w:pPr>
      <w:r w:rsidRPr="00C56C1F">
        <w:rPr>
          <w:rFonts w:ascii="Sylfaen" w:hAnsi="Sylfaen" w:cs="Calibri"/>
          <w:sz w:val="20"/>
          <w:szCs w:val="20"/>
          <w:lang w:val="hy-AM"/>
        </w:rPr>
        <w:t>Կառավարչի հետ պայմանավորվելու, լոտերի մասին տեղեկություններ ստանալու և աճուրդին առնչվող ցանկացած այլ հարցով կարող եք փոստով կամ էլեկտրոնային փոստով (mailbox4manager@gmail.com) նամակ գրել սնանկության գործով կառավարչին։</w:t>
      </w:r>
    </w:p>
    <w:sectPr w:rsidR="00165C71" w:rsidRPr="00C56C1F" w:rsidSect="00654A79">
      <w:pgSz w:w="12240" w:h="15840"/>
      <w:pgMar w:top="709" w:right="1041"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LatArm">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EA2"/>
    <w:rsid w:val="00030024"/>
    <w:rsid w:val="00032028"/>
    <w:rsid w:val="00037F14"/>
    <w:rsid w:val="00051DA4"/>
    <w:rsid w:val="00084BD6"/>
    <w:rsid w:val="0009794B"/>
    <w:rsid w:val="000A4224"/>
    <w:rsid w:val="000B054A"/>
    <w:rsid w:val="000B0574"/>
    <w:rsid w:val="000B0D64"/>
    <w:rsid w:val="000C5435"/>
    <w:rsid w:val="000F5FCF"/>
    <w:rsid w:val="00100A1A"/>
    <w:rsid w:val="0010699D"/>
    <w:rsid w:val="00121676"/>
    <w:rsid w:val="0012212C"/>
    <w:rsid w:val="001231D5"/>
    <w:rsid w:val="00125BBC"/>
    <w:rsid w:val="00155F36"/>
    <w:rsid w:val="001634B7"/>
    <w:rsid w:val="00165C71"/>
    <w:rsid w:val="001A278D"/>
    <w:rsid w:val="001A3428"/>
    <w:rsid w:val="001A4A34"/>
    <w:rsid w:val="001B03BB"/>
    <w:rsid w:val="001B322C"/>
    <w:rsid w:val="001B6C41"/>
    <w:rsid w:val="001D7025"/>
    <w:rsid w:val="001F3CF4"/>
    <w:rsid w:val="001F4543"/>
    <w:rsid w:val="001F6790"/>
    <w:rsid w:val="002062F4"/>
    <w:rsid w:val="00232D35"/>
    <w:rsid w:val="00233DF3"/>
    <w:rsid w:val="0024392B"/>
    <w:rsid w:val="0024609B"/>
    <w:rsid w:val="00247705"/>
    <w:rsid w:val="002B1652"/>
    <w:rsid w:val="002D25F7"/>
    <w:rsid w:val="002D43E6"/>
    <w:rsid w:val="002F4B05"/>
    <w:rsid w:val="002F6B9D"/>
    <w:rsid w:val="00303BD1"/>
    <w:rsid w:val="00310195"/>
    <w:rsid w:val="003200EE"/>
    <w:rsid w:val="00337FA0"/>
    <w:rsid w:val="0035090B"/>
    <w:rsid w:val="00354697"/>
    <w:rsid w:val="003549B4"/>
    <w:rsid w:val="003613D6"/>
    <w:rsid w:val="003650CB"/>
    <w:rsid w:val="003740D4"/>
    <w:rsid w:val="00384D8D"/>
    <w:rsid w:val="003B3D62"/>
    <w:rsid w:val="003E7D5F"/>
    <w:rsid w:val="003F7909"/>
    <w:rsid w:val="004329D8"/>
    <w:rsid w:val="00432F92"/>
    <w:rsid w:val="00441210"/>
    <w:rsid w:val="0044354E"/>
    <w:rsid w:val="00446652"/>
    <w:rsid w:val="00450A57"/>
    <w:rsid w:val="00452C90"/>
    <w:rsid w:val="004A17A7"/>
    <w:rsid w:val="004F0994"/>
    <w:rsid w:val="005144EA"/>
    <w:rsid w:val="005211BF"/>
    <w:rsid w:val="00542707"/>
    <w:rsid w:val="0054427B"/>
    <w:rsid w:val="005611B9"/>
    <w:rsid w:val="005636B3"/>
    <w:rsid w:val="005716D6"/>
    <w:rsid w:val="005816BD"/>
    <w:rsid w:val="00590E8F"/>
    <w:rsid w:val="005C01DB"/>
    <w:rsid w:val="005C678A"/>
    <w:rsid w:val="005F2F67"/>
    <w:rsid w:val="00600786"/>
    <w:rsid w:val="0060682C"/>
    <w:rsid w:val="006215BC"/>
    <w:rsid w:val="00642B02"/>
    <w:rsid w:val="006474BB"/>
    <w:rsid w:val="00654A79"/>
    <w:rsid w:val="0069516C"/>
    <w:rsid w:val="00696430"/>
    <w:rsid w:val="006A2AEE"/>
    <w:rsid w:val="006A65AD"/>
    <w:rsid w:val="006B3335"/>
    <w:rsid w:val="006B4EA2"/>
    <w:rsid w:val="006C3A23"/>
    <w:rsid w:val="006C4180"/>
    <w:rsid w:val="006D1B24"/>
    <w:rsid w:val="006E0CB2"/>
    <w:rsid w:val="006E6E15"/>
    <w:rsid w:val="00702266"/>
    <w:rsid w:val="00705728"/>
    <w:rsid w:val="0071331E"/>
    <w:rsid w:val="00764272"/>
    <w:rsid w:val="007649F0"/>
    <w:rsid w:val="00765485"/>
    <w:rsid w:val="007727C2"/>
    <w:rsid w:val="00782771"/>
    <w:rsid w:val="00793DE9"/>
    <w:rsid w:val="007A25D1"/>
    <w:rsid w:val="007B07DC"/>
    <w:rsid w:val="007B2C02"/>
    <w:rsid w:val="007B46FA"/>
    <w:rsid w:val="007C095F"/>
    <w:rsid w:val="007C4145"/>
    <w:rsid w:val="007D70E0"/>
    <w:rsid w:val="007E2784"/>
    <w:rsid w:val="007E772C"/>
    <w:rsid w:val="007F1CA6"/>
    <w:rsid w:val="00817326"/>
    <w:rsid w:val="008207D5"/>
    <w:rsid w:val="00841DC7"/>
    <w:rsid w:val="00855310"/>
    <w:rsid w:val="00860DE7"/>
    <w:rsid w:val="00865074"/>
    <w:rsid w:val="008716A2"/>
    <w:rsid w:val="00876663"/>
    <w:rsid w:val="008800C0"/>
    <w:rsid w:val="00896225"/>
    <w:rsid w:val="008B7214"/>
    <w:rsid w:val="008D521B"/>
    <w:rsid w:val="008F3533"/>
    <w:rsid w:val="00905A83"/>
    <w:rsid w:val="009066CB"/>
    <w:rsid w:val="00907713"/>
    <w:rsid w:val="00926831"/>
    <w:rsid w:val="009554FC"/>
    <w:rsid w:val="00961723"/>
    <w:rsid w:val="009752B7"/>
    <w:rsid w:val="009828E4"/>
    <w:rsid w:val="009867A7"/>
    <w:rsid w:val="009B0538"/>
    <w:rsid w:val="009E1C0B"/>
    <w:rsid w:val="009E5F34"/>
    <w:rsid w:val="009F61CB"/>
    <w:rsid w:val="00A06644"/>
    <w:rsid w:val="00A54C6C"/>
    <w:rsid w:val="00A96141"/>
    <w:rsid w:val="00AA60B5"/>
    <w:rsid w:val="00AA7A38"/>
    <w:rsid w:val="00AB730F"/>
    <w:rsid w:val="00B0006C"/>
    <w:rsid w:val="00B169D5"/>
    <w:rsid w:val="00B33D23"/>
    <w:rsid w:val="00B51DC8"/>
    <w:rsid w:val="00B73A90"/>
    <w:rsid w:val="00B932AE"/>
    <w:rsid w:val="00BC14AA"/>
    <w:rsid w:val="00BC26F1"/>
    <w:rsid w:val="00BD4482"/>
    <w:rsid w:val="00BE721B"/>
    <w:rsid w:val="00BF7B53"/>
    <w:rsid w:val="00C10C4B"/>
    <w:rsid w:val="00C12896"/>
    <w:rsid w:val="00C24D4F"/>
    <w:rsid w:val="00C2711A"/>
    <w:rsid w:val="00C33253"/>
    <w:rsid w:val="00C457EA"/>
    <w:rsid w:val="00C56239"/>
    <w:rsid w:val="00C56C1F"/>
    <w:rsid w:val="00CD5C78"/>
    <w:rsid w:val="00CE7A4C"/>
    <w:rsid w:val="00CF05A5"/>
    <w:rsid w:val="00D23BBD"/>
    <w:rsid w:val="00D32D43"/>
    <w:rsid w:val="00D401AC"/>
    <w:rsid w:val="00D71585"/>
    <w:rsid w:val="00D7553B"/>
    <w:rsid w:val="00D94DF3"/>
    <w:rsid w:val="00DE2A74"/>
    <w:rsid w:val="00E139F7"/>
    <w:rsid w:val="00E2395F"/>
    <w:rsid w:val="00E2590E"/>
    <w:rsid w:val="00E5776F"/>
    <w:rsid w:val="00E81531"/>
    <w:rsid w:val="00E85FC6"/>
    <w:rsid w:val="00E87112"/>
    <w:rsid w:val="00EB1E9B"/>
    <w:rsid w:val="00EB4958"/>
    <w:rsid w:val="00EB590F"/>
    <w:rsid w:val="00EC3234"/>
    <w:rsid w:val="00EC567D"/>
    <w:rsid w:val="00EC5D4E"/>
    <w:rsid w:val="00F46A85"/>
    <w:rsid w:val="00F85713"/>
    <w:rsid w:val="00FA5517"/>
    <w:rsid w:val="00FB03B7"/>
    <w:rsid w:val="00FC71F6"/>
    <w:rsid w:val="00FD3378"/>
    <w:rsid w:val="00FD62EC"/>
    <w:rsid w:val="00FE0CBE"/>
    <w:rsid w:val="00FE67B3"/>
    <w:rsid w:val="00FE67CE"/>
    <w:rsid w:val="00FF7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191A"/>
  <w15:chartTrackingRefBased/>
  <w15:docId w15:val="{79ACBCEB-1A69-4FFA-B669-0AE1008E9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57EA"/>
    <w:pPr>
      <w:spacing w:after="200" w:line="276" w:lineRule="auto"/>
    </w:pPr>
    <w:rPr>
      <w:rFonts w:ascii="Calibri" w:eastAsia="Calibri" w:hAnsi="Calibri" w:cs="Arial LatArm"/>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C457EA"/>
    <w:rPr>
      <w:color w:val="0000FF"/>
      <w:u w:val="single"/>
    </w:rPr>
  </w:style>
  <w:style w:type="character" w:styleId="a4">
    <w:name w:val="Strong"/>
    <w:basedOn w:val="a0"/>
    <w:uiPriority w:val="22"/>
    <w:qFormat/>
    <w:rsid w:val="00C457EA"/>
    <w:rPr>
      <w:b/>
      <w:bCs/>
    </w:rPr>
  </w:style>
  <w:style w:type="paragraph" w:styleId="2">
    <w:name w:val="Body Text Indent 2"/>
    <w:basedOn w:val="a"/>
    <w:link w:val="20"/>
    <w:unhideWhenUsed/>
    <w:rsid w:val="00432F92"/>
    <w:pPr>
      <w:numPr>
        <w:ilvl w:val="12"/>
      </w:numPr>
      <w:spacing w:after="0" w:line="240" w:lineRule="auto"/>
      <w:ind w:left="284" w:hanging="14"/>
      <w:jc w:val="both"/>
    </w:pPr>
    <w:rPr>
      <w:rFonts w:ascii="Arial LatArm" w:eastAsia="Times New Roman" w:hAnsi="Arial LatArm" w:cs="Times New Roman"/>
      <w:sz w:val="20"/>
      <w:szCs w:val="20"/>
      <w:lang w:val="en-US"/>
    </w:rPr>
  </w:style>
  <w:style w:type="character" w:customStyle="1" w:styleId="20">
    <w:name w:val="Основной текст с отступом 2 Знак"/>
    <w:basedOn w:val="a0"/>
    <w:link w:val="2"/>
    <w:rsid w:val="00432F92"/>
    <w:rPr>
      <w:rFonts w:ascii="Arial LatArm" w:eastAsia="Times New Roman" w:hAnsi="Arial LatArm" w:cs="Times New Roman"/>
      <w:sz w:val="20"/>
      <w:szCs w:val="20"/>
    </w:rPr>
  </w:style>
  <w:style w:type="paragraph" w:styleId="a5">
    <w:name w:val="Balloon Text"/>
    <w:basedOn w:val="a"/>
    <w:link w:val="a6"/>
    <w:uiPriority w:val="99"/>
    <w:semiHidden/>
    <w:unhideWhenUsed/>
    <w:rsid w:val="00165C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65C71"/>
    <w:rPr>
      <w:rFonts w:ascii="Segoe UI" w:eastAsia="Calibri" w:hAnsi="Segoe UI" w:cs="Segoe UI"/>
      <w:sz w:val="18"/>
      <w:szCs w:val="18"/>
      <w:lang w:val="ru-RU"/>
    </w:rPr>
  </w:style>
  <w:style w:type="paragraph" w:styleId="a7">
    <w:name w:val="Normal (Web)"/>
    <w:basedOn w:val="a"/>
    <w:uiPriority w:val="99"/>
    <w:unhideWhenUsed/>
    <w:rsid w:val="00B169D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omm">
    <w:name w:val="comm"/>
    <w:basedOn w:val="a"/>
    <w:rsid w:val="00B169D5"/>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a8">
    <w:name w:val="Table Grid"/>
    <w:basedOn w:val="a1"/>
    <w:uiPriority w:val="59"/>
    <w:rsid w:val="002F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825873">
      <w:bodyDiv w:val="1"/>
      <w:marLeft w:val="0"/>
      <w:marRight w:val="0"/>
      <w:marTop w:val="0"/>
      <w:marBottom w:val="0"/>
      <w:divBdr>
        <w:top w:val="none" w:sz="0" w:space="0" w:color="auto"/>
        <w:left w:val="none" w:sz="0" w:space="0" w:color="auto"/>
        <w:bottom w:val="none" w:sz="0" w:space="0" w:color="auto"/>
        <w:right w:val="none" w:sz="0" w:space="0" w:color="auto"/>
      </w:divBdr>
    </w:div>
    <w:div w:id="721713858">
      <w:bodyDiv w:val="1"/>
      <w:marLeft w:val="0"/>
      <w:marRight w:val="0"/>
      <w:marTop w:val="0"/>
      <w:marBottom w:val="0"/>
      <w:divBdr>
        <w:top w:val="none" w:sz="0" w:space="0" w:color="auto"/>
        <w:left w:val="none" w:sz="0" w:space="0" w:color="auto"/>
        <w:bottom w:val="none" w:sz="0" w:space="0" w:color="auto"/>
        <w:right w:val="none" w:sz="0" w:space="0" w:color="auto"/>
      </w:divBdr>
    </w:div>
    <w:div w:id="999037219">
      <w:bodyDiv w:val="1"/>
      <w:marLeft w:val="0"/>
      <w:marRight w:val="0"/>
      <w:marTop w:val="0"/>
      <w:marBottom w:val="0"/>
      <w:divBdr>
        <w:top w:val="none" w:sz="0" w:space="0" w:color="auto"/>
        <w:left w:val="none" w:sz="0" w:space="0" w:color="auto"/>
        <w:bottom w:val="none" w:sz="0" w:space="0" w:color="auto"/>
        <w:right w:val="none" w:sz="0" w:space="0" w:color="auto"/>
      </w:divBdr>
    </w:div>
    <w:div w:id="1578202410">
      <w:bodyDiv w:val="1"/>
      <w:marLeft w:val="0"/>
      <w:marRight w:val="0"/>
      <w:marTop w:val="0"/>
      <w:marBottom w:val="0"/>
      <w:divBdr>
        <w:top w:val="none" w:sz="0" w:space="0" w:color="auto"/>
        <w:left w:val="none" w:sz="0" w:space="0" w:color="auto"/>
        <w:bottom w:val="none" w:sz="0" w:space="0" w:color="auto"/>
        <w:right w:val="none" w:sz="0" w:space="0" w:color="auto"/>
      </w:divBdr>
    </w:div>
    <w:div w:id="1751006223">
      <w:bodyDiv w:val="1"/>
      <w:marLeft w:val="0"/>
      <w:marRight w:val="0"/>
      <w:marTop w:val="0"/>
      <w:marBottom w:val="0"/>
      <w:divBdr>
        <w:top w:val="none" w:sz="0" w:space="0" w:color="auto"/>
        <w:left w:val="none" w:sz="0" w:space="0" w:color="auto"/>
        <w:bottom w:val="none" w:sz="0" w:space="0" w:color="auto"/>
        <w:right w:val="none" w:sz="0" w:space="0" w:color="auto"/>
      </w:divBdr>
    </w:div>
    <w:div w:id="187742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2</Pages>
  <Words>1102</Words>
  <Characters>6282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Tigran</dc:creator>
  <cp:keywords/>
  <dc:description/>
  <cp:lastModifiedBy>Tigran</cp:lastModifiedBy>
  <cp:revision>193</cp:revision>
  <cp:lastPrinted>2024-03-01T11:14:00Z</cp:lastPrinted>
  <dcterms:created xsi:type="dcterms:W3CDTF">2024-02-07T13:56:00Z</dcterms:created>
  <dcterms:modified xsi:type="dcterms:W3CDTF">2026-08-19T07:02:00Z</dcterms:modified>
</cp:coreProperties>
</file>